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1788625029"/>
    <w:bookmarkEnd w:id="0"/>
    <w:p w:rsidR="006D4673" w:rsidRPr="001B369D" w:rsidRDefault="00034E10" w:rsidP="00283364">
      <w:pPr>
        <w:jc w:val="center"/>
      </w:pPr>
      <w:r w:rsidRPr="00152DAF">
        <w:rPr>
          <w:b/>
          <w:sz w:val="28"/>
          <w:szCs w:val="28"/>
        </w:rPr>
        <w:object w:dxaOrig="9560" w:dyaOrig="13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677.25pt" o:ole="">
            <v:imagedata r:id="rId6" o:title=""/>
          </v:shape>
          <o:OLEObject Type="Embed" ProgID="Word.Document.12" ShapeID="_x0000_i1025" DrawAspect="Content" ObjectID="_1791977195" r:id="rId7">
            <o:FieldCodes>\s</o:FieldCodes>
          </o:OLEObject>
        </w:object>
      </w:r>
      <w:r w:rsidR="00283364" w:rsidRPr="001B369D">
        <w:t xml:space="preserve"> </w:t>
      </w:r>
    </w:p>
    <w:p w:rsidR="006D4673" w:rsidRPr="001B369D" w:rsidRDefault="006D4673">
      <w:pPr>
        <w:pStyle w:val="a5"/>
        <w:tabs>
          <w:tab w:val="left" w:pos="993"/>
        </w:tabs>
        <w:ind w:firstLine="567"/>
      </w:pPr>
    </w:p>
    <w:p w:rsidR="006D4673" w:rsidRDefault="006D4673">
      <w:pPr>
        <w:pStyle w:val="a5"/>
        <w:tabs>
          <w:tab w:val="left" w:pos="993"/>
        </w:tabs>
        <w:ind w:firstLine="567"/>
      </w:pPr>
    </w:p>
    <w:p w:rsidR="009550EC" w:rsidRDefault="009550EC">
      <w:pPr>
        <w:pStyle w:val="a5"/>
        <w:tabs>
          <w:tab w:val="left" w:pos="993"/>
        </w:tabs>
        <w:ind w:firstLine="567"/>
      </w:pPr>
    </w:p>
    <w:p w:rsidR="009550EC" w:rsidRDefault="009550EC">
      <w:pPr>
        <w:pStyle w:val="a5"/>
        <w:tabs>
          <w:tab w:val="left" w:pos="993"/>
        </w:tabs>
        <w:ind w:firstLine="567"/>
      </w:pPr>
    </w:p>
    <w:p w:rsidR="009550EC" w:rsidRPr="001B369D" w:rsidRDefault="009550EC">
      <w:pPr>
        <w:pStyle w:val="a5"/>
        <w:tabs>
          <w:tab w:val="left" w:pos="993"/>
        </w:tabs>
        <w:ind w:firstLine="567"/>
      </w:pPr>
    </w:p>
    <w:p w:rsidR="00985AEA" w:rsidRDefault="00985AEA" w:rsidP="00985AEA">
      <w:pPr>
        <w:tabs>
          <w:tab w:val="left" w:pos="993"/>
        </w:tabs>
        <w:rPr>
          <w:sz w:val="28"/>
          <w:szCs w:val="28"/>
        </w:rPr>
      </w:pPr>
    </w:p>
    <w:p w:rsidR="006D4673" w:rsidRPr="001B369D" w:rsidRDefault="00985AEA" w:rsidP="00985AEA">
      <w:pPr>
        <w:tabs>
          <w:tab w:val="left" w:pos="993"/>
        </w:tabs>
        <w:rPr>
          <w:w w:val="110"/>
          <w:sz w:val="28"/>
          <w:szCs w:val="28"/>
        </w:rPr>
      </w:pPr>
      <w:r w:rsidRPr="00E873CC">
        <w:rPr>
          <w:rFonts w:eastAsia="Calibri"/>
          <w:bCs/>
          <w:noProof/>
          <w:sz w:val="28"/>
          <w:szCs w:val="28"/>
          <w:lang w:val="ru-RU" w:eastAsia="ru-RU"/>
        </w:rPr>
        <w:lastRenderedPageBreak/>
        <w:drawing>
          <wp:inline distT="0" distB="0" distL="0" distR="0" wp14:anchorId="461BE74B" wp14:editId="37851139">
            <wp:extent cx="6070600" cy="283908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0" cy="2839085"/>
                    </a:xfrm>
                    <a:prstGeom prst="rect">
                      <a:avLst/>
                    </a:prstGeom>
                    <a:noFill/>
                    <a:ln>
                      <a:noFill/>
                    </a:ln>
                  </pic:spPr>
                </pic:pic>
              </a:graphicData>
            </a:graphic>
          </wp:inline>
        </w:drawing>
      </w:r>
      <w:bookmarkStart w:id="1" w:name="_GoBack"/>
      <w:bookmarkEnd w:id="1"/>
      <w:r w:rsidR="005F75C7"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9550EC" w:rsidRPr="00EF30F1" w:rsidRDefault="00D53CBD" w:rsidP="009550EC">
      <w:pPr>
        <w:pStyle w:val="a6"/>
        <w:widowControl/>
        <w:numPr>
          <w:ilvl w:val="0"/>
          <w:numId w:val="21"/>
        </w:numPr>
        <w:adjustRightInd w:val="0"/>
        <w:ind w:left="0" w:firstLine="567"/>
        <w:jc w:val="both"/>
        <w:rPr>
          <w:rFonts w:eastAsiaTheme="minorHAnsi"/>
          <w:color w:val="000000"/>
          <w:sz w:val="28"/>
          <w:szCs w:val="28"/>
          <w:lang w:eastAsia="ru-RU"/>
        </w:rPr>
      </w:pPr>
      <w:r w:rsidRPr="00BB1DED">
        <w:rPr>
          <w:rFonts w:eastAsiaTheme="minorHAnsi"/>
          <w:color w:val="000000"/>
          <w:sz w:val="24"/>
          <w:szCs w:val="24"/>
          <w:lang w:eastAsia="ru-RU"/>
        </w:rPr>
        <w:t xml:space="preserve"> </w:t>
      </w:r>
      <w:r w:rsidR="009550EC" w:rsidRPr="00EF30F1">
        <w:rPr>
          <w:rFonts w:eastAsiaTheme="minorHAnsi"/>
          <w:color w:val="000000"/>
          <w:sz w:val="28"/>
          <w:szCs w:val="28"/>
          <w:lang w:eastAsia="ru-RU"/>
        </w:rPr>
        <w:t>Органикалық химия - химиялық технологияның теориялық негізі. Органикалық қосылыстардың шикізат көздері: мұнай, газ, көмір және т. б.</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қосылыстардың жіктелуі. Органикалық химиядағы химиялық реакциялардың түрлері. Көміртек атомының электрондық құрылымы. Органикалық қосылыстардағы коваленттік байланыс түрлері. Байланыс сипаттамасы.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Коваленттік байланыстың үзілу түрлері. Үзілістің гомолитикалық және гетеролитикалық түрі. Пайда болған бөлшектердің табиғаты. Органикалық реакциялардың түзілетін бөлшектердің табиғаты бойынша жіктелуі. Радикалды, нуклеофильді, электрофильді реакциялардың сипаттамасы.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Реакция механизмі туралы түсінік. Атомдардың бір-біріне әсері. Органикалық қосылыстардың молекулаларындағы электронды әсерлер. Индуктивті және мезомерлік әсерлер. Алмастырғыштардың радикалдардың, нуклеофилдердің және электрофилдердің реактивтілігіне әсері.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 Алкандардың кеңістіктік құрылымы. Этан мен бутан конформациялары, Ньюмен формулалары. Алкандарды алудың зертханалық және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Алкандардың химиялық қасиеттері. Алкандардың бос радикалды реакциялары: галогендеу, нитрлеу, сульфохлорлау, тотығу, крекинг және алкандардың изомерленуі. Алмастырғыштардың түзілетін, аралық радикалдардың тұрақтылығына әсері. Қанықпаған көмірсутектерді хош иістендіру және алкилдеу.</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Циклоалкандар. Моно және бициклді көмірсутектердің жіктелуі және номенклатурасы. Циклдардағы кернеу түрлері.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 xml:space="preserve">Алицикл алудың зертханалық және өнеркәсіптік әдістері. Шағын циклдердің химиялық қасиеттері. Қосылу және алмастыру реакциялары: </w:t>
      </w:r>
      <w:r w:rsidRPr="00EF30F1">
        <w:rPr>
          <w:rFonts w:eastAsiaTheme="minorHAnsi"/>
          <w:color w:val="000000"/>
          <w:sz w:val="28"/>
          <w:szCs w:val="28"/>
          <w:lang w:eastAsia="ru-RU"/>
        </w:rPr>
        <w:lastRenderedPageBreak/>
        <w:t>циклопропанның гидрленуі және тотығуы, сутегі бромиді мен галогендердің қосылуы.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 Қос байланыстың табиғаты. Цис және транс изомериясы. Z - және E-изомерия. Алкендердің номенклатурасы. Алкендерді алудың зертханалық және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Алкендердің химиялық қасиеттері. Қос байланыс арқылы электрофильді қосылу реакциялары. Жалпы реакция механизмі. Қосылу стереохимиясы. Электрофильді қосылу реакцияларындағы қосылу тәртібі-марковников ережесі.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Алкендердегі радикалды қосылу және алмастыру реакциялары. Харраш Әсері.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Көміртекті қаңқаны сақтай отырып, алкендердің тотығуы, Прилежаев бойынша эпоксидтеу, анти - және синхронды гидроксилдену. Қос байланыстың деструктивті тотығуы. Озонидтердің тотығу және тотықсыздану ыдырауы.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Алкадиендер. Алкадиендердің жіктелуі. Біріктірілген алкадиендер. Конъюгацияланған алкадиендерді алудың зертханалық және өнеркәсіптік әдістері. 1,3-бутадиенді алудың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1,3-бутадиеннің химиялық қасиеттері. Электрофильді қосылу реакциясының ерекшеліктері: 1,2 - және 1,4 - қосылу. Перциклді реакциялар. Дильс-Алдер реакциясы-диен синтезі (4+2-циклге қосылу). Диендер мен диенофилдер. Алкадиендердің полимерленуі. Синтетикалық каучуктар өндірісі.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Алкиндер. Үштік байланыстың табиғаты. Алкиндерді алудың зертханалық және өнеркәсіптік әдістері. Карбид және метан ацетилен өндіру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O-H, C-O байланыстарының сипаттамасы.спирттер мен фенолдардың химиялық қасиеттері. Спирттер мен фенолдардың қышқыл-негіздік қасиеттері. Алмастырғыш табиғатының спирттер мен фенолдардың қышқылдығы мен негізділігіне әсері.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 xml:space="preserve"> Қарапайым эфирлердің жіктелуі. Қаныққан, қанықпаған және хош иісті эфирлердің изомериясы. Қарапайым эфирлерді алудың зертханалық және өнеркәсіптік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Альдегидтер мен кетондар. Шекті және хош иісті оксоқосылыстарды синтездеудің өнеркәсіптік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кетондардың химиялық қасиеттері. Карбонил тобының құрылымы, оның полярлығы мен поляризациясы. Май</w:t>
      </w:r>
      <w:r w:rsidRPr="005A63F8">
        <w:rPr>
          <w:sz w:val="28"/>
          <w:szCs w:val="28"/>
        </w:rPr>
        <w:t xml:space="preserve"> </w:t>
      </w:r>
      <w:r w:rsidRPr="005A63F8">
        <w:rPr>
          <w:rFonts w:eastAsiaTheme="minorHAnsi"/>
          <w:color w:val="000000"/>
          <w:sz w:val="28"/>
          <w:szCs w:val="28"/>
          <w:lang w:eastAsia="ru-RU"/>
        </w:rPr>
        <w:t>лы-хош иісті және алифатты альдегидтер мен кетондар қатарындағы кето-энолды таутомерия.</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С=o тобы бойынша нуклеофильді қосылу реакциялары: циангидриндердің, бисульфиттік туындылардың, ацеталдардың, кеталдардың синтезі. Металлорганикалық қосылыстармен өзара әрекеттесу. Бес хлорлы фосформен, азотты негіздермен реакциялар.</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 қалпына келтіру. Кетондарды қалпына келтіру аминациясы.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Энол және энолят топтарының реакциялары. Галоформды реакция, нитроздану, кетондардың тотығуы, альдол-кротондық конденсация, Принс, Маннич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lastRenderedPageBreak/>
        <w:t>Карбон қышқылдары және олардың туындылары. Карбон қышқылдарының жіктелуі. Бір негізді және екі негізді шекті және хош иісті карбон қышқылдарын синтездеудің негізгі өнеркәсіптік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Карбоксил тобының О-н байланысы бойынша реакциялар: күкірт және фосфор қышқылдарының галогенангидридтерімен әрекеттесу. Галогенангидридтердің синтезі. Метилен тобы бойынша реакциялар: фольгардт-Зелинский бойынша галогендеу. Бензой қышқылының электрофильді алмастыру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Аминдер. Аминдердің жіктелуі. Аминдердің номенклатурасы және изомериясы. Амин синтезінің негізгі өндірістік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аминдердің негізгі және нуклеофильді қасиеттері, электрондардың жалғыз жұбының рөлі. Негізділіктің құрылымға тәуелділігі. Амин тобының қатысуымен реакциялар. Бастапқы, екінші және үшінші аминдердің азот қышқылымен әрекеттесуі. Анилинді электрофильді алмастыру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Диазоқосылыстар. Хош иісті диазоқосылыстардың құрылымы. Алифатты және хош иісті диазоқосылыстарды синтездеудің негізгі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Хош иісті диазоқосылыстардың қатысуымен синтездер: азоттың бөлінуімен және бөлінбеуімен. Азо бояғыштар. Бояғыштың түсінің оның құрылымына тәуелділігі.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Нитроқосылыстар. Нитроқосылыстардың жіктелуі. Нитроқосылыстардың номенклатурасы және изомериясы. Алифатты және хош иісті қатарлардың нитроқосылыстарын синтездеудің негізгі өнеркәсіптік және зертханалық әдістері.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 тобының құрылымы (семиполярлық байланыс, мезомерия). Нитро туындылардың химиялық қасиеттері. Нитробензолды электрофильді алмастыру реакциялары.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Құрамында күкірт бар алифатты қосылыстар. Құрамында күкірт бар қосылыстардың жіктелуі. Күкіртті органикалық қосылыстардың номенклатурасы.</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қатарлардың сульфоқышқылдары. Алу жолдары. Сульфоқышқылдардың химиялық қасиеттері. Сульфоқышқылдардың функционалды туындыларын алу және қасиеттері: хлорангидридтер, амидтер, күрделі эфирлер.</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Оксиқышқылдар. Оксиқышқылдардың жіктелуі және номенклатурасы. Оксиқышқылдардың стереохимиясы. Сүт қышқылының оптикалық антиподтары. Фишердің проекциялық формулалары және оларды пайдалану ережелері.</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Көмірсулар. Көмірсулар, олардың табиғаттағы рөлі. Жіктеу. Моносахаридтер, олардың стереоизомериясы: D және L қатарлары. Моносахаридтердің химиялық қасиеттері. Сақиналы тізбекті таутомерия. Гликозидті гидроксилдің ерекше қасиеттері, еруі және еруі-стереоизомерлер. Мутаротация.</w:t>
      </w:r>
    </w:p>
    <w:p w:rsidR="009550EC"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Бес мүшелі гетероциклдердің жіктелуі және номенклатурасы. Тиофеннің, фуранның және пирролдың хош иісі мен шексіздігі. Тиофен, фуран және пиррол алу жолдары.</w:t>
      </w:r>
    </w:p>
    <w:p w:rsidR="009550EC" w:rsidRPr="005A63F8" w:rsidRDefault="009550EC" w:rsidP="009550EC">
      <w:pPr>
        <w:pStyle w:val="a6"/>
        <w:widowControl/>
        <w:numPr>
          <w:ilvl w:val="0"/>
          <w:numId w:val="21"/>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lastRenderedPageBreak/>
        <w:t>Тиофен, фуран және пирролдың химиялық қасиеттері. Негізгі және қышқылдық қасиеттері. Бес мүшелі гетероциклдердегі электрофильді алмастыру реакциялары: нитрлеу, сульфация, галогендеу, ацилдену; олардың бағытын түсіндіру. Пирролдың формальдегид пен құмырсқа қышқылымен конденсациясы.</w:t>
      </w:r>
    </w:p>
    <w:p w:rsidR="009550EC" w:rsidRPr="00EF30F1" w:rsidRDefault="009550EC" w:rsidP="009550EC">
      <w:pPr>
        <w:tabs>
          <w:tab w:val="left" w:pos="851"/>
          <w:tab w:val="left" w:pos="993"/>
        </w:tabs>
        <w:ind w:firstLine="567"/>
        <w:jc w:val="both"/>
        <w:rPr>
          <w:rStyle w:val="jlqj4b"/>
          <w:b/>
          <w:i/>
          <w:sz w:val="28"/>
          <w:szCs w:val="28"/>
        </w:rPr>
      </w:pPr>
    </w:p>
    <w:p w:rsidR="009550EC" w:rsidRPr="00215F2C" w:rsidRDefault="009550EC" w:rsidP="009550EC">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p>
    <w:p w:rsidR="009550EC" w:rsidRPr="005A63F8" w:rsidRDefault="009550EC" w:rsidP="009550EC">
      <w:pPr>
        <w:pStyle w:val="6"/>
        <w:spacing w:after="0"/>
        <w:rPr>
          <w:sz w:val="28"/>
          <w:szCs w:val="28"/>
          <w:lang w:val="kk-KZ"/>
        </w:rPr>
      </w:pPr>
      <w:r w:rsidRPr="005A63F8">
        <w:rPr>
          <w:sz w:val="28"/>
          <w:szCs w:val="28"/>
          <w:lang w:val="kk-KZ"/>
        </w:rPr>
        <w:t>Негізгі</w:t>
      </w:r>
    </w:p>
    <w:p w:rsidR="009550EC" w:rsidRPr="005A63F8" w:rsidRDefault="009550EC" w:rsidP="009550EC">
      <w:pPr>
        <w:pStyle w:val="a6"/>
        <w:numPr>
          <w:ilvl w:val="0"/>
          <w:numId w:val="22"/>
        </w:numPr>
        <w:shd w:val="clear" w:color="auto" w:fill="FFFFFF"/>
        <w:adjustRightInd w:val="0"/>
        <w:contextualSpacing/>
        <w:jc w:val="both"/>
        <w:rPr>
          <w:sz w:val="28"/>
          <w:szCs w:val="28"/>
        </w:rPr>
      </w:pPr>
      <w:r w:rsidRPr="005A63F8">
        <w:rPr>
          <w:sz w:val="28"/>
          <w:szCs w:val="28"/>
        </w:rPr>
        <w:t>Тюкавкина Н.А., Бауков Ю.А. Биоорганическая химия, М., 2000</w:t>
      </w:r>
    </w:p>
    <w:p w:rsidR="009550EC" w:rsidRPr="005A63F8" w:rsidRDefault="009550EC" w:rsidP="009550EC">
      <w:pPr>
        <w:pStyle w:val="a6"/>
        <w:numPr>
          <w:ilvl w:val="0"/>
          <w:numId w:val="22"/>
        </w:numPr>
        <w:shd w:val="clear" w:color="auto" w:fill="FFFFFF"/>
        <w:adjustRightInd w:val="0"/>
        <w:contextualSpacing/>
        <w:jc w:val="both"/>
        <w:rPr>
          <w:sz w:val="28"/>
          <w:szCs w:val="28"/>
        </w:rPr>
      </w:pPr>
      <w:r w:rsidRPr="005A63F8">
        <w:rPr>
          <w:sz w:val="28"/>
          <w:szCs w:val="28"/>
        </w:rPr>
        <w:t>Петров А.А., Бальян А., Трощенко А.И. Органическая химия, М., 1988</w:t>
      </w:r>
    </w:p>
    <w:p w:rsidR="009550EC" w:rsidRPr="00215F2C" w:rsidRDefault="009550EC" w:rsidP="009550EC">
      <w:pPr>
        <w:numPr>
          <w:ilvl w:val="0"/>
          <w:numId w:val="22"/>
        </w:numPr>
        <w:shd w:val="clear" w:color="auto" w:fill="FFFFFF"/>
        <w:adjustRightInd w:val="0"/>
        <w:jc w:val="both"/>
        <w:rPr>
          <w:sz w:val="28"/>
          <w:szCs w:val="28"/>
        </w:rPr>
      </w:pPr>
      <w:r w:rsidRPr="005A63F8">
        <w:rPr>
          <w:sz w:val="28"/>
          <w:szCs w:val="28"/>
        </w:rPr>
        <w:t>Грандберг Н.А. Органическая химия, М., 2001</w:t>
      </w:r>
    </w:p>
    <w:p w:rsidR="009550EC" w:rsidRPr="005A63F8" w:rsidRDefault="009550EC" w:rsidP="009550EC">
      <w:pPr>
        <w:pStyle w:val="5"/>
        <w:ind w:firstLine="0"/>
        <w:rPr>
          <w:szCs w:val="28"/>
          <w:lang w:val="kk-KZ"/>
        </w:rPr>
      </w:pPr>
      <w:r w:rsidRPr="005A63F8">
        <w:rPr>
          <w:szCs w:val="28"/>
          <w:lang w:val="kk-KZ"/>
        </w:rPr>
        <w:t>Қосымша</w:t>
      </w:r>
    </w:p>
    <w:p w:rsidR="009550EC" w:rsidRPr="005A63F8" w:rsidRDefault="009550EC" w:rsidP="009550EC">
      <w:pPr>
        <w:pStyle w:val="a6"/>
        <w:numPr>
          <w:ilvl w:val="0"/>
          <w:numId w:val="23"/>
        </w:numPr>
        <w:shd w:val="clear" w:color="auto" w:fill="FFFFFF"/>
        <w:adjustRightInd w:val="0"/>
        <w:contextualSpacing/>
        <w:jc w:val="both"/>
        <w:rPr>
          <w:sz w:val="28"/>
          <w:szCs w:val="28"/>
        </w:rPr>
      </w:pPr>
      <w:r w:rsidRPr="005A63F8">
        <w:rPr>
          <w:sz w:val="28"/>
          <w:szCs w:val="28"/>
        </w:rPr>
        <w:t>Шабаров Ю.С. Органическая химия. М., 2000, 848 с.</w:t>
      </w:r>
    </w:p>
    <w:p w:rsidR="009550EC" w:rsidRPr="005A63F8" w:rsidRDefault="009550EC" w:rsidP="009550EC">
      <w:pPr>
        <w:numPr>
          <w:ilvl w:val="0"/>
          <w:numId w:val="23"/>
        </w:numPr>
        <w:shd w:val="clear" w:color="auto" w:fill="FFFFFF"/>
        <w:adjustRightInd w:val="0"/>
        <w:jc w:val="both"/>
        <w:rPr>
          <w:sz w:val="28"/>
          <w:szCs w:val="28"/>
        </w:rPr>
      </w:pPr>
      <w:r w:rsidRPr="005A63F8">
        <w:rPr>
          <w:sz w:val="28"/>
          <w:szCs w:val="28"/>
        </w:rPr>
        <w:t>Потапов В.М., Татаринчик С.Н. Органическая химия.-М,1979</w:t>
      </w:r>
    </w:p>
    <w:p w:rsidR="009550EC" w:rsidRPr="005A63F8" w:rsidRDefault="009550EC" w:rsidP="009550EC">
      <w:pPr>
        <w:numPr>
          <w:ilvl w:val="0"/>
          <w:numId w:val="23"/>
        </w:numPr>
        <w:shd w:val="clear" w:color="auto" w:fill="FFFFFF"/>
        <w:adjustRightInd w:val="0"/>
        <w:jc w:val="both"/>
        <w:rPr>
          <w:sz w:val="28"/>
          <w:szCs w:val="28"/>
        </w:rPr>
      </w:pPr>
      <w:r w:rsidRPr="005A63F8">
        <w:rPr>
          <w:sz w:val="28"/>
          <w:szCs w:val="28"/>
        </w:rPr>
        <w:t>Ержанова М.С., Бурашева Г.Ш. и др. Качественный функциональный анализ, Алматы,1997, 15 с.</w:t>
      </w:r>
    </w:p>
    <w:p w:rsidR="009550EC" w:rsidRPr="005A63F8" w:rsidRDefault="009550EC" w:rsidP="009550EC">
      <w:pPr>
        <w:widowControl/>
        <w:numPr>
          <w:ilvl w:val="0"/>
          <w:numId w:val="23"/>
        </w:numPr>
        <w:autoSpaceDE/>
        <w:autoSpaceDN/>
        <w:jc w:val="both"/>
        <w:rPr>
          <w:sz w:val="28"/>
          <w:szCs w:val="28"/>
        </w:rPr>
      </w:pPr>
      <w:r w:rsidRPr="005A63F8">
        <w:rPr>
          <w:sz w:val="28"/>
          <w:szCs w:val="28"/>
        </w:rPr>
        <w:t>Грандберг И.И. Практические работы и семинарские занятия по органической химии. – М.: ВШ, 1998.</w:t>
      </w:r>
    </w:p>
    <w:p w:rsidR="009550EC" w:rsidRPr="005A63F8" w:rsidRDefault="009550EC" w:rsidP="009550EC">
      <w:pPr>
        <w:widowControl/>
        <w:numPr>
          <w:ilvl w:val="0"/>
          <w:numId w:val="23"/>
        </w:numPr>
        <w:autoSpaceDE/>
        <w:autoSpaceDN/>
        <w:jc w:val="both"/>
        <w:rPr>
          <w:sz w:val="28"/>
          <w:szCs w:val="28"/>
        </w:rPr>
      </w:pPr>
      <w:r w:rsidRPr="005A63F8">
        <w:rPr>
          <w:sz w:val="28"/>
          <w:szCs w:val="28"/>
        </w:rPr>
        <w:t>Травень В.Ф. Органическая химия. – М.: ИКЦ Академкнига, 2004. – Т. 1, 2 .</w:t>
      </w:r>
    </w:p>
    <w:p w:rsidR="009550EC" w:rsidRPr="005A63F8" w:rsidRDefault="009550EC" w:rsidP="009550EC">
      <w:pPr>
        <w:widowControl/>
        <w:numPr>
          <w:ilvl w:val="0"/>
          <w:numId w:val="23"/>
        </w:numPr>
        <w:autoSpaceDE/>
        <w:autoSpaceDN/>
        <w:jc w:val="both"/>
        <w:rPr>
          <w:sz w:val="28"/>
          <w:szCs w:val="28"/>
        </w:rPr>
      </w:pPr>
      <w:r w:rsidRPr="005A63F8">
        <w:rPr>
          <w:sz w:val="28"/>
          <w:szCs w:val="28"/>
        </w:rPr>
        <w:t>Степанов О.М. Теоретические основы органической химии. – М.: ВШ. – Учебное пособие. – 2004.</w:t>
      </w:r>
    </w:p>
    <w:p w:rsidR="009550EC" w:rsidRPr="00215F2C" w:rsidRDefault="009550EC" w:rsidP="009550EC">
      <w:pPr>
        <w:numPr>
          <w:ilvl w:val="0"/>
          <w:numId w:val="23"/>
        </w:numPr>
        <w:shd w:val="clear" w:color="auto" w:fill="FFFFFF"/>
        <w:adjustRightInd w:val="0"/>
        <w:jc w:val="both"/>
        <w:rPr>
          <w:sz w:val="28"/>
          <w:szCs w:val="28"/>
        </w:rPr>
      </w:pPr>
      <w:r w:rsidRPr="005A63F8">
        <w:rPr>
          <w:sz w:val="28"/>
          <w:szCs w:val="28"/>
        </w:rPr>
        <w:t xml:space="preserve"> Реутов О.А., Курц А.Л., Бутин К.П. Органическая химия. – М.: МГУ, 1989. – Т. 1, 2.</w:t>
      </w:r>
    </w:p>
    <w:p w:rsidR="00B833F6" w:rsidRPr="003744F7" w:rsidRDefault="00B833F6" w:rsidP="009550EC">
      <w:pPr>
        <w:widowControl/>
        <w:adjustRightInd w:val="0"/>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Аралас прокторинг түрі жиі қолданылады: бағдарлама ескертулерімен </w:t>
      </w:r>
      <w:r w:rsidRPr="002E58CE">
        <w:rPr>
          <w:rStyle w:val="jlqj4b"/>
          <w:sz w:val="28"/>
          <w:szCs w:val="28"/>
        </w:rPr>
        <w:lastRenderedPageBreak/>
        <w:t>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Pr="00283364" w:rsidRDefault="00DC012F" w:rsidP="009B7BD9">
            <w:pPr>
              <w:pStyle w:val="a5"/>
              <w:tabs>
                <w:tab w:val="left" w:pos="993"/>
              </w:tabs>
              <w:jc w:val="both"/>
              <w:rPr>
                <w:sz w:val="24"/>
                <w:szCs w:val="24"/>
              </w:rPr>
            </w:pPr>
          </w:p>
          <w:p w:rsidR="00DC012F" w:rsidRPr="00283364" w:rsidRDefault="00DC012F" w:rsidP="009B7BD9">
            <w:pPr>
              <w:pStyle w:val="a5"/>
              <w:tabs>
                <w:tab w:val="left" w:pos="993"/>
              </w:tabs>
              <w:jc w:val="both"/>
              <w:rPr>
                <w:sz w:val="24"/>
                <w:szCs w:val="24"/>
              </w:rPr>
            </w:pPr>
            <w:r w:rsidRPr="00283364">
              <w:rPr>
                <w:sz w:val="24"/>
                <w:szCs w:val="24"/>
              </w:rPr>
              <w:t>Курстың теориясы мен тұжырымдамасын білу және түсіну</w:t>
            </w:r>
          </w:p>
        </w:tc>
        <w:tc>
          <w:tcPr>
            <w:tcW w:w="2808" w:type="dxa"/>
            <w:gridSpan w:val="2"/>
          </w:tcPr>
          <w:p w:rsidR="002B36B7" w:rsidRPr="00283364" w:rsidRDefault="002B36B7" w:rsidP="009B7BD9">
            <w:pPr>
              <w:pStyle w:val="a5"/>
              <w:tabs>
                <w:tab w:val="left" w:pos="993"/>
              </w:tabs>
              <w:spacing w:before="90"/>
              <w:jc w:val="center"/>
              <w:rPr>
                <w:sz w:val="24"/>
                <w:szCs w:val="24"/>
              </w:rPr>
            </w:pPr>
            <w:r w:rsidRPr="00283364">
              <w:rPr>
                <w:sz w:val="24"/>
                <w:szCs w:val="24"/>
              </w:rPr>
              <w:t xml:space="preserve">Сұрақтың жан-жақты түсіндірмесі, әрбір қорытынды мен мәлімдеме үшін егжей-тегжейлі дәлелі бар, логикалық және дәйекті түрде </w:t>
            </w:r>
            <w:r w:rsidR="00436F7E" w:rsidRPr="00283364">
              <w:rPr>
                <w:sz w:val="24"/>
                <w:szCs w:val="24"/>
              </w:rPr>
              <w:t xml:space="preserve">аудиториялық сабақ кезінде құрастырылған және әзірленген </w:t>
            </w:r>
            <w:r w:rsidRPr="00283364">
              <w:rPr>
                <w:sz w:val="24"/>
                <w:szCs w:val="24"/>
              </w:rPr>
              <w:t>тақырыптардан мысалдармен расталған жауап үшін «өте жақсы» баға қойылады.</w:t>
            </w:r>
          </w:p>
        </w:tc>
        <w:tc>
          <w:tcPr>
            <w:tcW w:w="2538" w:type="dxa"/>
          </w:tcPr>
          <w:p w:rsidR="002B36B7" w:rsidRPr="009B7BD9" w:rsidRDefault="00436F7E" w:rsidP="00DC012F">
            <w:pPr>
              <w:pStyle w:val="a5"/>
              <w:tabs>
                <w:tab w:val="left" w:pos="993"/>
              </w:tabs>
              <w:spacing w:before="90"/>
              <w:jc w:val="center"/>
              <w:rPr>
                <w:sz w:val="24"/>
                <w:szCs w:val="24"/>
                <w:lang w:val="ru-RU"/>
              </w:rPr>
            </w:pPr>
            <w:r w:rsidRPr="00283364">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152DAF" w:rsidRDefault="00436F7E" w:rsidP="009B7BD9">
            <w:pPr>
              <w:pStyle w:val="a5"/>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егжей-тегжейлі, дәлелді </w:t>
            </w:r>
            <w:r w:rsidRPr="00152DAF">
              <w:rPr>
                <w:sz w:val="24"/>
                <w:szCs w:val="24"/>
              </w:rPr>
              <w:lastRenderedPageBreak/>
              <w:t xml:space="preserve">жауап беру, содан кейін </w:t>
            </w:r>
            <w:r w:rsidR="005D3BE1" w:rsidRPr="00152DAF">
              <w:rPr>
                <w:sz w:val="24"/>
                <w:szCs w:val="24"/>
              </w:rPr>
              <w:t xml:space="preserve">тақырыптың </w:t>
            </w:r>
            <w:r w:rsidRPr="00152DAF">
              <w:rPr>
                <w:sz w:val="24"/>
                <w:szCs w:val="24"/>
              </w:rPr>
              <w:t>практикалық мәселелерін шешу;</w:t>
            </w:r>
          </w:p>
        </w:tc>
        <w:tc>
          <w:tcPr>
            <w:tcW w:w="253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міндеттерін толық </w:t>
            </w:r>
            <w:r w:rsidRPr="00152DAF">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бұза отырып, нақты </w:t>
            </w:r>
            <w:r w:rsidRPr="00152DAF">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Тапсырманы шешудің ұтымсыз әдісі немесе жеткілікті </w:t>
            </w:r>
            <w:r w:rsidRPr="00152DAF">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2B36B7" w:rsidRPr="009B7BD9" w:rsidRDefault="005D3BE1" w:rsidP="009B7BD9">
            <w:pPr>
              <w:pStyle w:val="a5"/>
              <w:tabs>
                <w:tab w:val="left" w:pos="993"/>
              </w:tabs>
              <w:spacing w:before="90"/>
              <w:jc w:val="center"/>
              <w:rPr>
                <w:sz w:val="24"/>
                <w:szCs w:val="24"/>
                <w:lang w:val="ru-RU"/>
              </w:rPr>
            </w:pPr>
            <w:r w:rsidRPr="00283364">
              <w:rPr>
                <w:sz w:val="24"/>
                <w:szCs w:val="24"/>
              </w:rPr>
              <w:lastRenderedPageBreak/>
              <w:t xml:space="preserve">Тапсырмаларды шешу үшін білімді, алгоритмдерді </w:t>
            </w:r>
            <w:r w:rsidRPr="00283364">
              <w:rPr>
                <w:sz w:val="24"/>
                <w:szCs w:val="24"/>
              </w:rPr>
              <w:lastRenderedPageBreak/>
              <w:t xml:space="preserve">қолдана алмау; қорытынды және жалпылау жасай алмау.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5"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15:restartNumberingAfterBreak="0">
    <w:nsid w:val="47177FA5"/>
    <w:multiLevelType w:val="hybridMultilevel"/>
    <w:tmpl w:val="67D6E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4AC1107A"/>
    <w:multiLevelType w:val="hybridMultilevel"/>
    <w:tmpl w:val="3CDAE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6"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907197"/>
    <w:multiLevelType w:val="hybridMultilevel"/>
    <w:tmpl w:val="22D24A52"/>
    <w:lvl w:ilvl="0" w:tplc="6ABC2DC4">
      <w:start w:val="1"/>
      <w:numFmt w:val="decimal"/>
      <w:lvlText w:val="%1."/>
      <w:lvlJc w:val="left"/>
      <w:pPr>
        <w:ind w:left="525" w:hanging="45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21"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2"/>
  </w:num>
  <w:num w:numId="3">
    <w:abstractNumId w:val="13"/>
  </w:num>
  <w:num w:numId="4">
    <w:abstractNumId w:val="2"/>
  </w:num>
  <w:num w:numId="5">
    <w:abstractNumId w:val="14"/>
  </w:num>
  <w:num w:numId="6">
    <w:abstractNumId w:val="3"/>
  </w:num>
  <w:num w:numId="7">
    <w:abstractNumId w:val="19"/>
  </w:num>
  <w:num w:numId="8">
    <w:abstractNumId w:val="17"/>
  </w:num>
  <w:num w:numId="9">
    <w:abstractNumId w:val="8"/>
  </w:num>
  <w:num w:numId="10">
    <w:abstractNumId w:val="7"/>
  </w:num>
  <w:num w:numId="11">
    <w:abstractNumId w:val="15"/>
  </w:num>
  <w:num w:numId="12">
    <w:abstractNumId w:val="5"/>
  </w:num>
  <w:num w:numId="13">
    <w:abstractNumId w:val="21"/>
  </w:num>
  <w:num w:numId="14">
    <w:abstractNumId w:val="1"/>
  </w:num>
  <w:num w:numId="15">
    <w:abstractNumId w:val="16"/>
  </w:num>
  <w:num w:numId="16">
    <w:abstractNumId w:val="4"/>
  </w:num>
  <w:num w:numId="17">
    <w:abstractNumId w:val="6"/>
  </w:num>
  <w:num w:numId="18">
    <w:abstractNumId w:val="9"/>
  </w:num>
  <w:num w:numId="19">
    <w:abstractNumId w:val="20"/>
  </w:num>
  <w:num w:numId="20">
    <w:abstractNumId w:val="0"/>
  </w:num>
  <w:num w:numId="21">
    <w:abstractNumId w:val="18"/>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34E10"/>
    <w:rsid w:val="000401E3"/>
    <w:rsid w:val="000A1E4B"/>
    <w:rsid w:val="000C1EB9"/>
    <w:rsid w:val="000D6814"/>
    <w:rsid w:val="000E7908"/>
    <w:rsid w:val="001021E4"/>
    <w:rsid w:val="00103D14"/>
    <w:rsid w:val="00152DAF"/>
    <w:rsid w:val="00176454"/>
    <w:rsid w:val="001810B2"/>
    <w:rsid w:val="00185727"/>
    <w:rsid w:val="001B369D"/>
    <w:rsid w:val="001E6136"/>
    <w:rsid w:val="001E78F7"/>
    <w:rsid w:val="00213D5D"/>
    <w:rsid w:val="00245CDB"/>
    <w:rsid w:val="00263199"/>
    <w:rsid w:val="00283364"/>
    <w:rsid w:val="002B08AA"/>
    <w:rsid w:val="002B36B7"/>
    <w:rsid w:val="002C4A5C"/>
    <w:rsid w:val="002D5CF4"/>
    <w:rsid w:val="002E58CE"/>
    <w:rsid w:val="002F046F"/>
    <w:rsid w:val="003136CD"/>
    <w:rsid w:val="003172EE"/>
    <w:rsid w:val="00327619"/>
    <w:rsid w:val="00332C30"/>
    <w:rsid w:val="00373598"/>
    <w:rsid w:val="003744F7"/>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550EC"/>
    <w:rsid w:val="009823D4"/>
    <w:rsid w:val="00985AEA"/>
    <w:rsid w:val="00985F0A"/>
    <w:rsid w:val="009B7BD9"/>
    <w:rsid w:val="009C5468"/>
    <w:rsid w:val="009E4939"/>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9384F-2DAA-46FF-9BB0-18135764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paragraph" w:styleId="5">
    <w:name w:val="heading 5"/>
    <w:basedOn w:val="a"/>
    <w:next w:val="a"/>
    <w:link w:val="50"/>
    <w:qFormat/>
    <w:rsid w:val="009550EC"/>
    <w:pPr>
      <w:keepNext/>
      <w:widowControl/>
      <w:autoSpaceDE/>
      <w:autoSpaceDN/>
      <w:ind w:firstLine="720"/>
      <w:jc w:val="both"/>
      <w:outlineLvl w:val="4"/>
    </w:pPr>
    <w:rPr>
      <w:b/>
      <w:sz w:val="28"/>
      <w:szCs w:val="24"/>
      <w:lang w:val="ru-RU" w:eastAsia="ru-RU"/>
    </w:rPr>
  </w:style>
  <w:style w:type="paragraph" w:styleId="6">
    <w:name w:val="heading 6"/>
    <w:basedOn w:val="a"/>
    <w:next w:val="a"/>
    <w:link w:val="60"/>
    <w:qFormat/>
    <w:rsid w:val="009550EC"/>
    <w:pPr>
      <w:widowControl/>
      <w:autoSpaceDE/>
      <w:autoSpaceDN/>
      <w:spacing w:before="240" w:after="60"/>
      <w:outlineLvl w:val="5"/>
    </w:pPr>
    <w:rPr>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 w:type="character" w:customStyle="1" w:styleId="50">
    <w:name w:val="Заголовок 5 Знак"/>
    <w:basedOn w:val="a0"/>
    <w:link w:val="5"/>
    <w:rsid w:val="009550EC"/>
    <w:rPr>
      <w:rFonts w:ascii="Times New Roman" w:eastAsia="Times New Roman" w:hAnsi="Times New Roman" w:cs="Times New Roman"/>
      <w:b/>
      <w:sz w:val="28"/>
      <w:szCs w:val="24"/>
    </w:rPr>
  </w:style>
  <w:style w:type="character" w:customStyle="1" w:styleId="60">
    <w:name w:val="Заголовок 6 Знак"/>
    <w:basedOn w:val="a0"/>
    <w:link w:val="6"/>
    <w:rsid w:val="009550EC"/>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package" Target="embeddings/_________Microsoft_Word1.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12</Pages>
  <Words>2687</Words>
  <Characters>15318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admin</cp:lastModifiedBy>
  <cp:revision>14</cp:revision>
  <dcterms:created xsi:type="dcterms:W3CDTF">2022-09-28T07:59:00Z</dcterms:created>
  <dcterms:modified xsi:type="dcterms:W3CDTF">2024-11-01T09:40:00Z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